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50" w:after="150"/>
        <w:ind w:right="7" w:hanging="0"/>
        <w:jc w:val="left"/>
        <w:rPr/>
      </w:pPr>
      <w:r>
        <w:rPr>
          <w:rFonts w:cs="Arial"/>
          <w:b/>
          <w:bCs/>
          <w:i/>
          <w:sz w:val="28"/>
          <w:szCs w:val="28"/>
        </w:rPr>
        <w:t>Spis treści</w:t>
      </w:r>
    </w:p>
    <w:tbl>
      <w:tblPr>
        <w:tblW w:w="11115" w:type="dxa"/>
        <w:jc w:val="left"/>
        <w:tblInd w:w="-631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40"/>
        <w:gridCol w:w="9720"/>
        <w:gridCol w:w="120"/>
        <w:gridCol w:w="734"/>
      </w:tblGrid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lp.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strona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Wstęp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II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Analiza wykorzystania środków finansowych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3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III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Działalność merytoryczna Komisji w roku 2019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4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FFFFFF" w:val="clear"/>
              </w:rPr>
              <w:t>Gminny Punkt Konsultacyjny Poradnictwa Specjalistycznego dla osób z problemami opiekuńczo – wychowawczymi i przemocą w Starej Pawłówce oraz Punkt Konsultacyjny ds. przeciwdziałania alkoholizmowi w Przerośli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6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FFFFFF" w:val="clear"/>
              </w:rPr>
              <w:t>Działania terapeutyczne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7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IV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FFFFFF" w:val="clear"/>
              </w:rPr>
              <w:t>DZIAŁALNOŚĆ PROFILAKTYCZNA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highlight w:val="white"/>
                <w:shd w:fill="FFFFFF" w:val="clear"/>
              </w:rPr>
              <w:t xml:space="preserve"> finansowana ze środków GKRPA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7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  <w:shd w:fill="FFFFFF" w:val="clear"/>
              </w:rPr>
              <w:t>Działania Szkół Podstawowych znajdujących się w zasobach Gminy Przerośl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7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  <w:shd w:fill="FFFFFF" w:val="clear"/>
              </w:rPr>
              <w:t>Działania Samorządu Gminy Przerośl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8</w:t>
            </w:r>
          </w:p>
        </w:tc>
      </w:tr>
      <w:tr>
        <w:trPr>
          <w:trHeight w:val="762" w:hRule="atLeast"/>
        </w:trPr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V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240" w:afterAutospacing="1"/>
              <w:jc w:val="both"/>
              <w:textAlignment w:val="center"/>
              <w:outlineLvl w:val="1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 xml:space="preserve">Przeciwdziałanie narkomanii 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9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VI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240" w:after="200"/>
              <w:jc w:val="both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ZESPÓŁ INTERDYSCYPLINARNY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9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VII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240" w:after="200"/>
              <w:jc w:val="both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KONTROLA PUNKTÓW SPRZEDAŻY NAPOJÓW ALKOHOLOWYCH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9</w:t>
            </w:r>
          </w:p>
        </w:tc>
      </w:tr>
      <w:tr>
        <w:trPr/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VIII</w:t>
            </w:r>
          </w:p>
        </w:tc>
        <w:tc>
          <w:tcPr>
            <w:tcW w:w="9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240" w:after="200"/>
              <w:ind w:hanging="0"/>
              <w:jc w:val="both"/>
              <w:rPr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WSPÓŁPRACA</w:t>
            </w:r>
          </w:p>
        </w:tc>
        <w:tc>
          <w:tcPr>
            <w:tcW w:w="1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rPr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</w:r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9</w:t>
            </w:r>
          </w:p>
        </w:tc>
      </w:tr>
    </w:tbl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 w:before="150" w:after="150"/>
        <w:ind w:right="7" w:hanging="0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>WSTĘP</w:t>
      </w:r>
    </w:p>
    <w:p>
      <w:pPr>
        <w:pStyle w:val="Normal"/>
        <w:spacing w:lineRule="auto" w:line="276" w:before="150" w:after="150"/>
        <w:ind w:right="7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Do głównych zadań realizowanych przez komisję należało prowadzenie działań związanych             z profilaktyką i rozwiązywaniem problemów alkoholowych, narkomanii i przemocy poprzez: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1. Zwiększanie dostępności pomocy terapeutycznej i rehabilitacyjnej dla osób uzależnionych od alkoholu oraz członków ich rodzin:</w:t>
      </w:r>
    </w:p>
    <w:p>
      <w:pPr>
        <w:pStyle w:val="Normal"/>
        <w:numPr>
          <w:ilvl w:val="0"/>
          <w:numId w:val="1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obsługa punktu konsultacyjno - informacyjnego dla osób uzależnionych                                          i współuzależnionych od alkoholu,</w:t>
      </w:r>
    </w:p>
    <w:p>
      <w:pPr>
        <w:pStyle w:val="Normal"/>
        <w:numPr>
          <w:ilvl w:val="0"/>
          <w:numId w:val="1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obsługa punktu konsultacyjnego poradnictwa specjalistycznego dla osób                                z problemami opiekuńczo – wychowawczymi i przemocą, </w:t>
      </w:r>
    </w:p>
    <w:p>
      <w:pPr>
        <w:pStyle w:val="Normal"/>
        <w:numPr>
          <w:ilvl w:val="0"/>
          <w:numId w:val="1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dostarczanie informacji o prowadzeniu profesjonalnej terapii, </w:t>
      </w:r>
    </w:p>
    <w:p>
      <w:pPr>
        <w:pStyle w:val="Normal"/>
        <w:numPr>
          <w:ilvl w:val="0"/>
          <w:numId w:val="1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dostarczanie społeczeństwu  informacji o szkodliwości nadużywania alkoholu                       i środków psychoaktywnych ( ulotki )</w:t>
      </w:r>
    </w:p>
    <w:p>
      <w:pPr>
        <w:pStyle w:val="Normal"/>
        <w:numPr>
          <w:ilvl w:val="0"/>
          <w:numId w:val="1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motywowanie i kierowanie do leczenia odwykowego i uczestnictwa w zajęciach  terapeutycznych, </w:t>
      </w:r>
    </w:p>
    <w:p>
      <w:pPr>
        <w:pStyle w:val="Normal"/>
        <w:numPr>
          <w:ilvl w:val="0"/>
          <w:numId w:val="1"/>
        </w:numPr>
        <w:spacing w:lineRule="auto" w:line="276" w:beforeAutospacing="1" w:afterAutospacing="1"/>
        <w:ind w:left="720" w:right="0" w:hanging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współuczestnictwo w realizacji programów terapeutycznych, profilaktyczno- edukacyjnych.                           </w:t>
      </w:r>
    </w:p>
    <w:p>
      <w:pPr>
        <w:pStyle w:val="Normal"/>
        <w:spacing w:lineRule="auto" w:line="276" w:beforeAutospacing="1" w:afterAutospacing="1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>2. Udzielanie rodzinom, w których występuje problemy alkoholowe, pomocy psychospołecznej  ze szczególnym uwzględnieniem ochrony przed przemocą   w rodzinie: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zobowiązanie do podjęcia leczenia odwykowego: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przyjmowanie zgłoszeń o przypadkach nadużywania alkoholu z jednoczesnym występowaniem przesłanek powodujących rozkład życia rodzinnego, demoralizację nieletnich  lub zakłócanie spokoju   i porządku publicznego a także przemoc                        w rodzinie,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wzywanie na rozmowę osób, co do których wpłynęło zgłoszenie i pouczenie                              o konieczności zaprzestania w/w działań,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kierowanie na badanie przez biegłego w celu wydania opinii w przedmiocie uzależnienia od alkoholu,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przygotowywanie dokumentacji związanej z postępowaniem sądowym,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składanie wniosków o wszczęcie postępowania do Sądu Rejonowego w Suwałkach,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niesienie pomocy członkom rodzin z problemem alkoholowym,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przeciwdziałanie zjawisku przemocy w rodzinie, informowanie  o możliwości uzyskania pomocy,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udzielanie wsparcia osobom po zakończeniu terapii oraz członkom ich rodzin                          ( pomoc terapeutyczna i prawna),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współpraca z innymi placówkami, organizacjami społecznymi w zakresie profilaktyki                                i rozwiązywania problemów alkoholowych.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Uczestnictwo w osobie koordynatora w kampaniach profilaktyczno - edukacyjnych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3. Prowadzenie profilaktycznej działalności informacyjnej i edukacyjnej,                                         w szczególności dla dzieci  i młodzieży:</w:t>
      </w:r>
    </w:p>
    <w:p>
      <w:pPr>
        <w:pStyle w:val="Normal"/>
        <w:numPr>
          <w:ilvl w:val="0"/>
          <w:numId w:val="3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zaopatrzenie w materiały edukacyjne i informacyjne dotyczące problematyki uzależnień ( czasopisma, ulotki), </w:t>
      </w:r>
    </w:p>
    <w:p>
      <w:pPr>
        <w:pStyle w:val="Normal"/>
        <w:numPr>
          <w:ilvl w:val="0"/>
          <w:numId w:val="3"/>
        </w:numPr>
        <w:spacing w:lineRule="auto" w:line="276" w:beforeAutospacing="1" w:afterAutospacing="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współorganizowanie, konsultowanie zajęć profilaktycznych, pomoc przy tworzeniu programów profilaktycznych.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4. Nadzór nad ograniczeniem dostępności alkoholu  z zakresu ustawy o wychowaniu                          w trzeźwości i przeciwdziałaniu alkoholizmowi.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5. Wspomaganie działalności instytucji, stowarzyszeń i osób fizycznych służących rozwiązywaniu problemów alkoholowych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6. Motywowanie do podnoszenia kwalifikacji przedstawicieli placówek  oświaty, pomocy społecznej, policji,  stowarzyszeń w zakresie znajomości i rozwiązywania problemów alkoholowych,</w:t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 xml:space="preserve">7. Podział i zlecanie zadań wynikających z Gminnego Programu Profilaktyki i Rozwiązywania Problemów Alkoholowych, 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ind w:right="7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8. Dążenie do stworzenia zintegrowanego systemu profilaktyki gminnej – współpraca                 z przedstawicielami władz samorządowych, instytucji i organizacji na terenie gminy.</w:t>
      </w:r>
    </w:p>
    <w:p>
      <w:pPr>
        <w:pStyle w:val="Normal"/>
        <w:spacing w:before="150" w:after="150"/>
        <w:ind w:right="7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before="150" w:after="150"/>
        <w:ind w:right="7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II. ANALIZA WYKORZYSTANIA ŚRODKÓW FINANSOWYCH</w:t>
      </w:r>
    </w:p>
    <w:p>
      <w:pPr>
        <w:pStyle w:val="Normal"/>
        <w:spacing w:before="150" w:after="150"/>
        <w:ind w:right="7" w:hanging="0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before="150" w:after="150"/>
        <w:jc w:val="both"/>
        <w:rPr/>
      </w:pPr>
      <w:r>
        <w:rPr>
          <w:rFonts w:cs="Arial"/>
          <w:b/>
          <w:i/>
          <w:sz w:val="24"/>
          <w:szCs w:val="24"/>
        </w:rPr>
        <w:t>W  roku za zezwolenia na  sprzedaż napojów alkoholowych pozyskano kwotę: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ROK 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35 123,14 zł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36 887,07 zł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38 956,94 zł</w:t>
            </w:r>
          </w:p>
        </w:tc>
      </w:tr>
    </w:tbl>
    <w:p>
      <w:pPr>
        <w:pStyle w:val="Normal"/>
        <w:spacing w:before="150" w:after="150"/>
        <w:jc w:val="both"/>
        <w:rPr>
          <w:rFonts w:cs="Arial"/>
          <w:b/>
          <w:b/>
          <w:i/>
          <w:i/>
          <w:sz w:val="24"/>
          <w:szCs w:val="24"/>
          <w:u w:val="none"/>
        </w:rPr>
      </w:pPr>
      <w:r>
        <w:rPr>
          <w:rFonts w:cs="Arial"/>
          <w:b/>
          <w:i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/>
          <w:b/>
          <w:sz w:val="24"/>
          <w:szCs w:val="24"/>
        </w:rPr>
        <w:t>Liczba punktów sprzedaży napojów alkoholowych w 2019 roku -  6</w:t>
      </w:r>
    </w:p>
    <w:p>
      <w:pPr>
        <w:pStyle w:val="Normal"/>
        <w:jc w:val="both"/>
        <w:rPr/>
      </w:pPr>
      <w:r>
        <w:rPr>
          <w:rFonts w:cs="Arial"/>
          <w:b/>
          <w:bCs/>
          <w:sz w:val="24"/>
          <w:szCs w:val="24"/>
          <w:u w:val="single"/>
        </w:rPr>
        <w:t>ilość wydanych zezwoleń : 3</w:t>
      </w:r>
      <w:r>
        <w:rPr>
          <w:rFonts w:cs="Arial"/>
          <w:sz w:val="24"/>
          <w:szCs w:val="24"/>
        </w:rPr>
        <w:t xml:space="preserve"> zezwolenia jednorazowe w związku z sprzedażą napojów alkoholowych na imprezach organizowanych przez samorząd</w:t>
      </w:r>
    </w:p>
    <w:p>
      <w:pPr>
        <w:pStyle w:val="Normal"/>
        <w:spacing w:lineRule="auto" w:line="360"/>
        <w:jc w:val="both"/>
        <w:rPr/>
      </w:pPr>
      <w:r>
        <w:rPr>
          <w:rFonts w:cs="Arial"/>
          <w:b/>
          <w:sz w:val="24"/>
          <w:szCs w:val="24"/>
        </w:rPr>
        <w:t>Na rok 2019 zaplanowano na działanie Komisji kwotę:</w:t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604"/>
        <w:gridCol w:w="3044"/>
        <w:gridCol w:w="2610"/>
        <w:gridCol w:w="2386"/>
      </w:tblGrid>
      <w:tr>
        <w:trPr/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Kwota zaplanowana na dany rok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Kwota wykorzystana w danym roku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Kwota pozostała do przeniesienia na kolejny rok budżetowy</w:t>
            </w:r>
          </w:p>
        </w:tc>
      </w:tr>
      <w:tr>
        <w:trPr/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32 782,00 zł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30 571,76 zł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2 210,24 zł</w:t>
            </w:r>
          </w:p>
        </w:tc>
      </w:tr>
      <w:tr>
        <w:trPr/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37 333,00 zł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26 763,40 zł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10 569,60 zł</w:t>
            </w:r>
          </w:p>
        </w:tc>
      </w:tr>
      <w:tr>
        <w:trPr/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b/>
                <w:bCs/>
                <w:sz w:val="24"/>
                <w:szCs w:val="24"/>
              </w:rPr>
              <w:t>ROK 2019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56 835,00 zł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41 409,15 zł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15 425,85 zł</w:t>
            </w:r>
          </w:p>
        </w:tc>
      </w:tr>
    </w:tbl>
    <w:p>
      <w:pPr>
        <w:pStyle w:val="Normal"/>
        <w:spacing w:lineRule="auto" w:line="360"/>
        <w:jc w:val="both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</w:r>
    </w:p>
    <w:p>
      <w:pPr>
        <w:pStyle w:val="Normal"/>
        <w:spacing w:lineRule="auto" w:line="360" w:before="150" w:after="150"/>
        <w:ind w:right="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W tym wydatkowano:</w:t>
      </w:r>
    </w:p>
    <w:tbl>
      <w:tblPr>
        <w:tblW w:w="10740" w:type="dxa"/>
        <w:jc w:val="left"/>
        <w:tblInd w:w="-5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5895"/>
        <w:gridCol w:w="2325"/>
        <w:gridCol w:w="2520"/>
      </w:tblGrid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ROK 2019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wynagrodzenie przewodniczącego i członków komisji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4 089,00 zł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5 259,00 zł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prowadzenie punktu konsultacyjnego dla osób z problemem uzależnienia od alkoholu oraz członków ich rodzin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2 040,00 zł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/>
              <w:t>0,00 zł</w:t>
            </w:r>
          </w:p>
          <w:p>
            <w:pPr>
              <w:pStyle w:val="Zawartotabeli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prowadzony przez Przewodniczącego GKRPA w ramach obowiązków Przewodniczącego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>Programy edukacyjno – profilaktyczne, programy socjoterapeutyczne, szkolenia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18 120,53 zł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29 684,71 zł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Opinie o uzależnieniach/opłaty sądowe 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 zł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2 777,44 zł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Współfinansowanie turnusów/maratonów terapeutycznych 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zł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 zł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 xml:space="preserve">Przeciwdziałanie narkomanii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713,87 zł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/>
            </w:pPr>
            <w:r>
              <w:rPr/>
              <w:t>0,00 zł</w:t>
            </w:r>
          </w:p>
          <w:p>
            <w:pPr>
              <w:pStyle w:val="Zawartotabeli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Współorganizacja w innych działaniach profilaktycznych</w:t>
            </w:r>
          </w:p>
        </w:tc>
      </w:tr>
      <w:tr>
        <w:trPr/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both"/>
              <w:rPr/>
            </w:pPr>
            <w:r>
              <w:rPr/>
              <w:t>Zakup materiałów biurowych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zł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1 688,00</w:t>
            </w:r>
          </w:p>
        </w:tc>
      </w:tr>
    </w:tbl>
    <w:p>
      <w:pPr>
        <w:pStyle w:val="Normal"/>
        <w:spacing w:before="150" w:after="150"/>
        <w:ind w:right="7" w:hanging="0"/>
        <w:jc w:val="both"/>
        <w:rPr/>
      </w:pPr>
      <w:r>
        <w:rPr>
          <w:rFonts w:cs="Arial"/>
          <w:b/>
          <w:bCs/>
          <w:i w:val="false"/>
          <w:iCs w:val="false"/>
          <w:sz w:val="24"/>
          <w:szCs w:val="24"/>
        </w:rPr>
        <w:t>III DZIAŁALNOŚĆ  MERYTORYCZNA KOMISJI</w:t>
      </w:r>
    </w:p>
    <w:p>
      <w:pPr>
        <w:pStyle w:val="Normal"/>
        <w:spacing w:before="150" w:after="150"/>
        <w:ind w:right="7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/>
          <w:sz w:val="24"/>
          <w:szCs w:val="24"/>
        </w:rPr>
        <w:t xml:space="preserve">W </w:t>
      </w:r>
      <w:r>
        <w:rPr>
          <w:rFonts w:cs="Arial"/>
          <w:b/>
          <w:sz w:val="24"/>
          <w:szCs w:val="24"/>
        </w:rPr>
        <w:t>roku 2019</w:t>
      </w:r>
      <w:r>
        <w:rPr>
          <w:rFonts w:cs="Arial"/>
          <w:sz w:val="24"/>
          <w:szCs w:val="24"/>
        </w:rPr>
        <w:t xml:space="preserve"> Komisja odbyła </w:t>
      </w:r>
      <w:r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 xml:space="preserve"> spotkań</w:t>
      </w:r>
      <w:r>
        <w:rPr>
          <w:rFonts w:cs="Arial"/>
          <w:sz w:val="24"/>
          <w:szCs w:val="24"/>
        </w:rPr>
        <w:t>, na których rozpatrywano sprawy dotyczące:</w:t>
      </w:r>
    </w:p>
    <w:tbl>
      <w:tblPr>
        <w:tblW w:w="975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198"/>
        <w:gridCol w:w="3276"/>
        <w:gridCol w:w="3276"/>
      </w:tblGrid>
      <w:tr>
        <w:trPr/>
        <w:tc>
          <w:tcPr>
            <w:tcW w:w="3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ROK 2019</w:t>
            </w:r>
          </w:p>
        </w:tc>
      </w:tr>
      <w:tr>
        <w:trPr/>
        <w:tc>
          <w:tcPr>
            <w:tcW w:w="3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9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9750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673"/>
        <w:gridCol w:w="3784"/>
        <w:gridCol w:w="5293"/>
      </w:tblGrid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posiedzenia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spraw</w:t>
            </w:r>
          </w:p>
        </w:tc>
      </w:tr>
      <w:tr>
        <w:trPr>
          <w:trHeight w:val="594" w:hRule="atLeast"/>
        </w:trPr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sz w:val="24"/>
                <w:szCs w:val="24"/>
              </w:rPr>
              <w:t>20 marca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sz w:val="24"/>
                <w:szCs w:val="24"/>
              </w:rPr>
              <w:t>30 kwietnia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sz w:val="24"/>
                <w:szCs w:val="24"/>
              </w:rPr>
              <w:t>22 maja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sz w:val="24"/>
                <w:szCs w:val="24"/>
              </w:rPr>
              <w:t>28 czerwca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sz w:val="24"/>
                <w:szCs w:val="24"/>
              </w:rPr>
              <w:t>17 lipca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/>
            </w:pPr>
            <w:r>
              <w:rPr>
                <w:sz w:val="24"/>
                <w:szCs w:val="24"/>
              </w:rPr>
              <w:t>3 września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października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8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listopada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9</w:t>
            </w:r>
          </w:p>
        </w:tc>
        <w:tc>
          <w:tcPr>
            <w:tcW w:w="3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grudnia 2019 roku</w:t>
            </w:r>
          </w:p>
        </w:tc>
        <w:tc>
          <w:tcPr>
            <w:tcW w:w="5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lineRule="auto" w:line="360" w:before="150" w:after="150"/>
        <w:ind w:right="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150" w:after="150"/>
        <w:ind w:right="7" w:hanging="0"/>
        <w:jc w:val="both"/>
        <w:rPr/>
      </w:pPr>
      <w:r>
        <w:rPr>
          <w:rFonts w:eastAsia="Times New Roman" w:cs="Times New Roman"/>
          <w:b/>
          <w:bCs/>
          <w:sz w:val="24"/>
          <w:szCs w:val="24"/>
          <w:shd w:fill="FFFFFF" w:val="clear"/>
        </w:rPr>
        <w:t>W roku 2019</w:t>
      </w:r>
      <w:r>
        <w:rPr>
          <w:rFonts w:eastAsia="Times New Roman" w:cs="Times New Roman"/>
          <w:b w:val="false"/>
          <w:bCs w:val="false"/>
          <w:sz w:val="24"/>
          <w:szCs w:val="24"/>
          <w:shd w:fill="FFFFFF" w:val="clear"/>
        </w:rPr>
        <w:t xml:space="preserve"> Komisja skierowała </w:t>
      </w:r>
      <w:r>
        <w:rPr>
          <w:rFonts w:eastAsia="Times New Roman" w:cs="Times New Roman"/>
          <w:b/>
          <w:bCs/>
          <w:sz w:val="24"/>
          <w:szCs w:val="24"/>
          <w:shd w:fill="FFFFFF" w:val="clear"/>
        </w:rPr>
        <w:t xml:space="preserve"> 4</w:t>
      </w:r>
      <w:r>
        <w:rPr>
          <w:rFonts w:eastAsia="Times New Roman" w:cs="Times New Roman"/>
          <w:b/>
          <w:bCs/>
          <w:sz w:val="24"/>
          <w:szCs w:val="24"/>
          <w:u w:val="single"/>
          <w:shd w:fill="FFFFFF" w:val="clear"/>
        </w:rPr>
        <w:t xml:space="preserve"> osoby na badanie specjalistyczne </w:t>
      </w:r>
      <w:r>
        <w:rPr>
          <w:rFonts w:eastAsia="Times New Roman" w:cs="Times New Roman"/>
          <w:b w:val="false"/>
          <w:bCs w:val="false"/>
          <w:sz w:val="24"/>
          <w:szCs w:val="24"/>
          <w:shd w:fill="FFFFFF" w:val="clear"/>
        </w:rPr>
        <w:t>w kwestii uzależnienia od alkoholu.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ROK 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auto" w:line="360" w:before="150" w:after="150"/>
        <w:ind w:right="7"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/>
          <w:b w:val="false"/>
          <w:bCs w:val="false"/>
          <w:sz w:val="24"/>
          <w:szCs w:val="24"/>
          <w:highlight w:val="white"/>
        </w:rPr>
      </w:r>
    </w:p>
    <w:p>
      <w:pPr>
        <w:pStyle w:val="Normal"/>
        <w:spacing w:lineRule="auto" w:line="360" w:before="150" w:after="150"/>
        <w:ind w:right="7" w:hanging="0"/>
        <w:jc w:val="both"/>
        <w:rPr/>
      </w:pPr>
      <w:r>
        <w:rPr>
          <w:rFonts w:eastAsia="Times New Roman" w:cs="Times New Roman"/>
          <w:b/>
          <w:bCs/>
          <w:sz w:val="24"/>
          <w:szCs w:val="24"/>
          <w:shd w:fill="FFFFFF" w:val="clear"/>
        </w:rPr>
        <w:t>W roku 2019</w:t>
      </w:r>
      <w:r>
        <w:rPr>
          <w:rFonts w:eastAsia="Times New Roman" w:cs="Times New Roman"/>
          <w:b w:val="false"/>
          <w:bCs w:val="false"/>
          <w:sz w:val="24"/>
          <w:szCs w:val="24"/>
          <w:shd w:fill="FFFFFF" w:val="clear"/>
        </w:rPr>
        <w:t xml:space="preserve"> Komisja skierowała  3</w:t>
      </w:r>
      <w:r>
        <w:rPr>
          <w:rFonts w:eastAsia="Times New Roman" w:cs="Times New Roman"/>
          <w:b/>
          <w:bCs/>
          <w:sz w:val="24"/>
          <w:szCs w:val="24"/>
          <w:u w:val="single"/>
          <w:shd w:fill="FFFFFF" w:val="clear"/>
        </w:rPr>
        <w:t xml:space="preserve"> wnioski do Sądu Rejonowego III Wydział Rodzinny                      i Nieletnich o zastosowanie obowiązku leczenia odwykowego</w:t>
      </w:r>
      <w:r>
        <w:rPr>
          <w:rFonts w:eastAsia="Times New Roman" w:cs="Times New Roman"/>
          <w:b w:val="false"/>
          <w:bCs w:val="false"/>
          <w:sz w:val="24"/>
          <w:szCs w:val="24"/>
          <w:shd w:fill="FFFFFF" w:val="clear"/>
        </w:rPr>
        <w:t xml:space="preserve"> ( na dwóch sprawach Sąd skierował wezwanie do stawiennictwa na posiedzeniu Sądu)</w:t>
      </w:r>
      <w:r>
        <w:rPr>
          <w:rFonts w:eastAsia="Times New Roman" w:cs="Times New Roman"/>
          <w:b/>
          <w:bCs/>
          <w:sz w:val="24"/>
          <w:szCs w:val="24"/>
          <w:u w:val="none"/>
          <w:shd w:fill="FFFFFF" w:val="clear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shd w:fill="FFFFFF" w:val="clear"/>
        </w:rPr>
        <w:t>w kwestii uzależnienia od alkoholu.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ROK 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360" w:before="150" w:after="150"/>
        <w:ind w:right="7"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shd w:fill="FFFFFF" w:val="clear"/>
        </w:rPr>
        <w:t xml:space="preserve">Ogólnie </w:t>
      </w:r>
      <w:r>
        <w:rPr>
          <w:rFonts w:eastAsia="Times New Roman" w:cs="Times New Roman"/>
          <w:b/>
          <w:bCs/>
          <w:sz w:val="24"/>
          <w:szCs w:val="24"/>
          <w:shd w:fill="FFFFFF" w:val="clear"/>
        </w:rPr>
        <w:t>w roku 2019 Gminna Komisja ds. Profilaktyki i Rozwiązywania Problemów Alkoholowych w Przerośli wydała 17 postanowień w sprawach działalności Komisji.</w:t>
      </w:r>
    </w:p>
    <w:p>
      <w:pPr>
        <w:pStyle w:val="Normal"/>
        <w:spacing w:lineRule="auto" w:line="360" w:before="150" w:after="150"/>
        <w:ind w:right="7" w:hanging="0"/>
        <w:jc w:val="both"/>
        <w:rPr>
          <w:rFonts w:eastAsia="Times New Roman" w:cs="Times New Roman"/>
          <w:b/>
          <w:b/>
          <w:bCs/>
          <w:sz w:val="24"/>
          <w:szCs w:val="24"/>
          <w:highlight w:val="white"/>
          <w:u w:val="single"/>
        </w:rPr>
      </w:pPr>
      <w:r>
        <w:rPr>
          <w:rFonts w:eastAsia="Times New Roman" w:cs="Times New Roman"/>
          <w:b/>
          <w:bCs/>
          <w:sz w:val="24"/>
          <w:szCs w:val="24"/>
          <w:highlight w:val="white"/>
          <w:u w:val="single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ROK 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17</w:t>
            </w:r>
          </w:p>
        </w:tc>
      </w:tr>
    </w:tbl>
    <w:p>
      <w:pPr>
        <w:pStyle w:val="Normal"/>
        <w:spacing w:lineRule="auto" w:line="360" w:before="150" w:after="150"/>
        <w:ind w:right="7" w:hanging="0"/>
        <w:jc w:val="both"/>
        <w:rPr>
          <w:rFonts w:eastAsia="Times New Roman" w:cs="Times New Roman"/>
          <w:b/>
          <w:b/>
          <w:bCs/>
          <w:sz w:val="24"/>
          <w:szCs w:val="24"/>
          <w:highlight w:val="white"/>
          <w:u w:val="single"/>
        </w:rPr>
      </w:pPr>
      <w:r>
        <w:rPr>
          <w:rFonts w:eastAsia="Times New Roman" w:cs="Times New Roman"/>
          <w:b/>
          <w:bCs/>
          <w:sz w:val="24"/>
          <w:szCs w:val="24"/>
          <w:highlight w:val="white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shd w:fill="FFFF00" w:val="clear"/>
        </w:rPr>
        <w:t>1. Gminny Punkt Konsultacyjny Poradnictwa Specjalistycznego dla osób z problemami opiekuńczo – wychowawczymi i przemocą w Starej Pawłówce oraz Punkt Konsultacyjny ds. przeciwdziałania alkoholizmowi w Przerośli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bCs/>
          <w:color w:val="000000"/>
          <w:sz w:val="24"/>
          <w:szCs w:val="24"/>
        </w:rPr>
        <w:t>Istotne warunki funkcjonowania Punktu Konsultacyjnego: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  <w:szCs w:val="24"/>
        </w:rPr>
        <w:t>1. Obsługa mieszkańców gminy Przerośl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  <w:szCs w:val="24"/>
        </w:rPr>
        <w:t>2. Udzielanie porad osobom z problemem uzależnienia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  <w:szCs w:val="24"/>
        </w:rPr>
        <w:t>3. Diagnoza rodzin i osób uzależnionych, 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  <w:szCs w:val="24"/>
        </w:rPr>
        <w:t>4. Współpraca z GKRPA i GOPS w Przerośli,</w:t>
      </w:r>
    </w:p>
    <w:p>
      <w:pPr>
        <w:pStyle w:val="Normal"/>
        <w:spacing w:before="0"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b/>
          <w:sz w:val="24"/>
          <w:szCs w:val="24"/>
        </w:rPr>
        <w:t>Liczba osób oraz udzielonych porad w punkcie konsultacyjno – informacyjnym                     w 2019 roku w poszczególnych kategoriach klientów: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tbl>
      <w:tblPr>
        <w:tblW w:w="9342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33"/>
        <w:gridCol w:w="1184"/>
        <w:gridCol w:w="1184"/>
        <w:gridCol w:w="1183"/>
        <w:gridCol w:w="1404"/>
        <w:gridCol w:w="1426"/>
        <w:gridCol w:w="1427"/>
      </w:tblGrid>
      <w:tr>
        <w:trPr/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Liczba osób 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Liczba osób 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Liczba osób 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ROK 2019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Liczba porad ROK 2017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Liczba porad ROK 2018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Liczba porad ROK 2019</w:t>
            </w:r>
          </w:p>
        </w:tc>
      </w:tr>
      <w:tr>
        <w:trPr/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4"/>
                <w:szCs w:val="24"/>
              </w:rPr>
              <w:t>Osobom z problemem alkoholowym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</w:tr>
      <w:tr>
        <w:trPr/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Dorosłym członkom rodziny osoby z problemem alkoholowym ( w tym współuzależnionym  i DDA)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4"/>
                <w:szCs w:val="24"/>
              </w:rPr>
              <w:t>Ofiarom przemocy w rodzinie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4"/>
                <w:szCs w:val="24"/>
              </w:rPr>
              <w:t>sprawcom przemocy w rodzinie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/>
            </w:pPr>
            <w:r>
              <w:rPr>
                <w:b/>
                <w:bCs/>
              </w:rPr>
              <w:t>9</w:t>
            </w:r>
          </w:p>
        </w:tc>
      </w:tr>
    </w:tbl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  <w:highlight w:val="yellow"/>
        </w:rPr>
        <w:t xml:space="preserve">2. </w:t>
      </w:r>
      <w:r>
        <w:rPr>
          <w:rFonts w:eastAsia="Times New Roman" w:cs="Times New Roman"/>
          <w:b/>
          <w:sz w:val="24"/>
          <w:szCs w:val="24"/>
          <w:shd w:fill="FFF726" w:val="clear"/>
        </w:rPr>
        <w:t>Działan</w:t>
      </w:r>
      <w:r>
        <w:rPr>
          <w:rFonts w:eastAsia="Times New Roman" w:cs="Times New Roman"/>
          <w:b/>
          <w:sz w:val="24"/>
          <w:szCs w:val="24"/>
          <w:shd w:fill="FFFF00" w:val="clear"/>
        </w:rPr>
        <w:t>ia Terapeutyczne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/>
          <w:sz w:val="24"/>
          <w:szCs w:val="24"/>
          <w:shd w:fill="FFFF00" w:val="clear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shd w:fill="FFFFFF" w:val="clear"/>
        </w:rPr>
        <w:tab/>
        <w:t>Zrealizowano dla 4 uczestników ( młodzież zamieszkująca Gminę Przerośl) wspólnie                       z Stowarzyszeniem „Wybór” program profilaktyki „NOE” dla dzieci i młodzieży szkół podstawowych i gimnazjalnych. - koszt programu 2 000 zł.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  <w:shd w:fill="FFFF00" w:val="clear"/>
        </w:rPr>
        <w:t>IV. DZIAŁALNOŚĆ PROFILAKTYCZNA finansowana ze środków Komisji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  <w:shd w:fill="FFFF00" w:val="clear"/>
        </w:rPr>
        <w:t>1. Działania Szkół Podstawowych znajdujących się w zasobach Gminy Przerośli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sz w:val="24"/>
          <w:szCs w:val="24"/>
          <w:highlight w:val="yellow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29"/>
        <w:gridCol w:w="2775"/>
        <w:gridCol w:w="1861"/>
        <w:gridCol w:w="2445"/>
        <w:gridCol w:w="1935"/>
      </w:tblGrid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 realizacji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osób objętych działaniami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Turniej szachowy z elementami profilaktyki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Pawłówce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25.03-05.04 2019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uczniów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Żyj zdrowo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Przerośli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08.03-08.04.2019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uczniów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3.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Gminny Turniej Literacki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Przerośli</w:t>
            </w:r>
          </w:p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Pawłówce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18.03-07.05.2019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uczniów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4.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Moje zainteresowania zaporą przed złymi wzorcami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Przerośli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06.05-05.06.2019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uczniów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Ziemia planeta wolna od przemocy i nałogów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Przerośli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 – 10.12.2019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uczniów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6.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Spektakle profilaktycznej</w:t>
            </w:r>
          </w:p>
          <w:p>
            <w:pPr>
              <w:pStyle w:val="Zawartotabeli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Ciamajda</w:t>
            </w:r>
          </w:p>
          <w:p>
            <w:pPr>
              <w:pStyle w:val="Zawartotabeli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Gadająca niespodzianka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Przerośli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uczniów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  <w:shd w:fill="FFFF00" w:val="clear"/>
        </w:rPr>
        <w:t>2. Działania Samorządu Gminy Przerośli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29"/>
        <w:gridCol w:w="2775"/>
        <w:gridCol w:w="1861"/>
        <w:gridCol w:w="2445"/>
        <w:gridCol w:w="1935"/>
      </w:tblGrid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 realizacji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osób objętych działaniami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Gminny Program Wspierania Rodziny </w:t>
            </w:r>
          </w:p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STRAŻAKA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Gminy Przerośl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skierowane do całej społeczności mieszkańców Gminy Przerośl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Edukacji Publicznej pt. W rodzinie siła – aktywnie, wolni od nałogów spędzamy czas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Gminy Przerośl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skierowane do całej społeczności mieszkańców Gminy Przerośl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3.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Edukacji Publicznej pt. W rodzinie siła – aktywnie, wolni od nałogów spędzamy czas – kontynuacja programu profilaktyki publicznej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Gminy Przerośl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skierowane do całej społeczności mieszkańców Gminy Przerośl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4.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Akcja profilaktyczna „ W rodzinie siła – aktywnie, wolni od nałogów spędzamy czas – organizacja Mikołajek w szkołach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Gminy Przerośl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uczniów szkół podstawowych                 w Przerośli                        i Pawłówce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Akcja profilaktyczna pt Mikołaj przeciw nałogom – Tradycyjne ozdoby choinkowe i świąteczne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Gminy Przerośl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– 17.12.2019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bookmarkStart w:id="0" w:name="__DdeLink__1156_1157772240"/>
            <w:bookmarkEnd w:id="0"/>
            <w:r>
              <w:rPr>
                <w:sz w:val="24"/>
                <w:szCs w:val="24"/>
              </w:rPr>
              <w:t>Działania skierowane do całej społeczności mieszkańców Gminy Przerośl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6.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Kącik Profilaktyczny dziecka i rodzica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Gminny Ośrodek Pomocy Społecznej w Przerośli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2019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skierowane do całej społeczności mieszkańców Gminy Przerośl</w:t>
            </w:r>
          </w:p>
        </w:tc>
      </w:tr>
    </w:tbl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eastAsia="Times New Roman" w:cs="Times New Roman"/>
          <w:b w:val="false"/>
          <w:bCs w:val="false"/>
          <w:sz w:val="24"/>
          <w:szCs w:val="24"/>
          <w:highlight w:val="yellow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Autospacing="1"/>
        <w:jc w:val="both"/>
        <w:textAlignment w:val="center"/>
        <w:outlineLvl w:val="1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shd w:fill="FFFF00" w:val="clear"/>
        </w:rPr>
        <w:t xml:space="preserve">V.  Przeciwdziałanie narkomanii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240" w:afterAutospacing="1"/>
        <w:ind w:firstLine="708"/>
        <w:jc w:val="both"/>
        <w:textAlignment w:val="center"/>
        <w:outlineLvl w:val="1"/>
        <w:rPr/>
      </w:pPr>
      <w:r>
        <w:rPr>
          <w:rFonts w:eastAsia="Times New Roman" w:cs="Times New Roman"/>
          <w:bCs/>
          <w:color w:val="000000"/>
          <w:sz w:val="24"/>
          <w:szCs w:val="24"/>
        </w:rPr>
        <w:t>Wszelkie działania ujęte w punkcie IV niniejszego sprawozdania zawierają w sobie działania profilaktyczne w zakresie przeciwdziałania narkomanii. W ramach realizacji działań samorządu zakupiono, poddano drukowi i rozdano ulotki profilaktyczne w zakresie przeciwdziałania narkomanii. W związku z współorganizacją działań profilaktycznych ujętych                     i finansowanych ze środków GKRPA w Przerośli z rozdziału przeznaczonego na finansowanie przeciwdziałania narkomanii nie wydatkowano środków.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shd w:fill="FFFF00" w:val="clear"/>
        </w:rPr>
        <w:t>VI .ZESPÓŁ INTERDYSCYPLINARNY</w:t>
      </w:r>
    </w:p>
    <w:p>
      <w:pPr>
        <w:pStyle w:val="Normal"/>
        <w:spacing w:lineRule="auto" w:line="360" w:before="240" w:after="200"/>
        <w:ind w:firstLine="708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</w:rPr>
        <w:t>Członkowie GKRPA w Przerośli uczestniczyli w roku 2019 w 4 posiedzeniach zespołu odnośnie pracy nad rodzinami w których występuje przypuszczenie stosowania przemocy                         w rodzinie i 42 posiedzeniach  Grupy Roboczej powołanej przez Przewodniczącego Zespołu Interdyscyplinarnego odnośnie pracy z konkretnym przypadkiem wystąp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shd w:fill="FFFF00" w:val="clear"/>
        </w:rPr>
        <w:t>VII. KONTROLA PUNKTÓW SPRZEDAŻY NAPOJÓW ALKOHOLOWYCH</w:t>
      </w:r>
    </w:p>
    <w:p>
      <w:pPr>
        <w:pStyle w:val="Normal"/>
        <w:spacing w:lineRule="auto" w:line="360" w:before="240" w:after="200"/>
        <w:ind w:firstLine="708"/>
        <w:jc w:val="both"/>
        <w:rPr/>
      </w:pPr>
      <w:r>
        <w:rPr>
          <w:rFonts w:eastAsia="Times New Roman" w:cs="Times New Roman"/>
          <w:bCs/>
          <w:color w:val="000000"/>
          <w:sz w:val="24"/>
          <w:szCs w:val="24"/>
        </w:rPr>
        <w:t>W roku 2019 nie podjęto działań kontrolnych punktach sprzedaży napojów alkoholowych.</w:t>
      </w:r>
    </w:p>
    <w:p>
      <w:pPr>
        <w:pStyle w:val="Normal"/>
        <w:spacing w:lineRule="auto" w:line="240" w:before="240" w:after="20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fill="FFFF00" w:val="clear"/>
        </w:rPr>
        <w:t>VIII. WSPÓŁPRACA</w:t>
      </w:r>
    </w:p>
    <w:p>
      <w:pPr>
        <w:pStyle w:val="Normal"/>
        <w:spacing w:lineRule="auto" w:line="360" w:before="240" w:after="200"/>
        <w:ind w:firstLine="360"/>
        <w:jc w:val="both"/>
        <w:rPr/>
      </w:pPr>
      <w:r>
        <w:rPr>
          <w:rFonts w:cs="Times New Roman"/>
          <w:sz w:val="24"/>
          <w:szCs w:val="24"/>
        </w:rPr>
        <w:t>Gminna Komisja ds. Profilaktyki i Rozwiązywania Problemów Alkoholowych współpracuje z Gminnym Ośrodkiem Pomocy Społecznej w Przerośli, Zespołem Interdyscyplinarnym działającym na terenie Gminy, Szkołą Podstawową w Pawłówce, Szkołą Podstawową w Przerośli, Policją, Kuratorami Sądowymi, Prokuraturą, Fundacjami, GOSiT w Przerośli</w:t>
      </w:r>
    </w:p>
    <w:p>
      <w:pPr>
        <w:pStyle w:val="Normal"/>
        <w:spacing w:lineRule="auto" w:line="360" w:before="24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 w:before="240"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Dziękuję za wkład i zaangażowanie w pracę wszystkim członkom Komisji, radnym, sołtysom i wszystkim osobom wspierającym pracę Komisji.</w:t>
      </w:r>
    </w:p>
    <w:p>
      <w:pPr>
        <w:pStyle w:val="Normal"/>
        <w:tabs>
          <w:tab w:val="left" w:pos="645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6450" w:leader="none"/>
        </w:tabs>
        <w:spacing w:lineRule="auto" w:line="360"/>
        <w:jc w:val="both"/>
        <w:rPr/>
      </w:pPr>
      <w:r>
        <w:rPr>
          <w:rFonts w:cs="Times New Roman"/>
          <w:sz w:val="24"/>
          <w:szCs w:val="24"/>
        </w:rPr>
        <w:t>Przerośl, dnia 12 lutego 2020 roku</w:t>
      </w:r>
    </w:p>
    <w:p>
      <w:pPr>
        <w:pStyle w:val="Normal"/>
        <w:tabs>
          <w:tab w:val="left" w:pos="645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Sporządził:  </w:t>
      </w:r>
    </w:p>
    <w:p>
      <w:pPr>
        <w:pStyle w:val="Normal"/>
        <w:tabs>
          <w:tab w:val="left" w:pos="645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Przewodniczący GKRPA w Przerośli Lejmel Rafał</w:t>
      </w:r>
    </w:p>
    <w:p>
      <w:pPr>
        <w:pStyle w:val="Normal"/>
        <w:tabs>
          <w:tab w:val="left" w:pos="6450" w:leader="none"/>
        </w:tabs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134" w:right="1134" w:header="0" w:top="1134" w:footer="1134" w:bottom="167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2"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12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5c76a1"/>
    <w:pPr>
      <w:spacing w:before="480" w:after="0"/>
      <w:contextualSpacing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5c76a1"/>
    <w:pPr>
      <w:spacing w:before="200" w:after="0"/>
      <w:outlineLvl w:val="1"/>
    </w:pPr>
    <w:rPr>
      <w:rFonts w:ascii="Arial" w:hAnsi="Arial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5c76a1"/>
    <w:pPr>
      <w:spacing w:lineRule="auto" w:line="271" w:before="200" w:after="0"/>
      <w:outlineLvl w:val="2"/>
    </w:pPr>
    <w:rPr>
      <w:rFonts w:ascii="Arial" w:hAnsi="Arial" w:eastAsia="" w:cs="" w:asciiTheme="majorHAnsi" w:cstheme="majorBidi" w:eastAsiaTheme="majorEastAsia" w:hAnsiTheme="majorHAnsi"/>
      <w:b/>
      <w:bCs/>
    </w:rPr>
  </w:style>
  <w:style w:type="paragraph" w:styleId="Nagwek4">
    <w:name w:val="Heading 4"/>
    <w:basedOn w:val="Normal"/>
    <w:link w:val="Nagwek4Znak"/>
    <w:uiPriority w:val="9"/>
    <w:unhideWhenUsed/>
    <w:qFormat/>
    <w:rsid w:val="005c76a1"/>
    <w:pPr>
      <w:spacing w:before="200" w:after="0"/>
      <w:outlineLvl w:val="3"/>
    </w:pPr>
    <w:rPr>
      <w:rFonts w:ascii="Arial" w:hAnsi="Arial" w:eastAsia="" w:cs="" w:asciiTheme="majorHAnsi" w:cstheme="majorBidi" w:eastAsiaTheme="majorEastAsia" w:hAnsiTheme="majorHAnsi"/>
      <w:b/>
      <w:bCs/>
      <w:i/>
      <w:iCs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5c76a1"/>
    <w:pPr>
      <w:spacing w:before="200" w:after="0"/>
      <w:outlineLvl w:val="4"/>
    </w:pPr>
    <w:rPr>
      <w:rFonts w:ascii="Arial" w:hAnsi="Arial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5c76a1"/>
    <w:pPr>
      <w:spacing w:lineRule="auto" w:line="271" w:before="0" w:after="0"/>
      <w:outlineLvl w:val="5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5c76a1"/>
    <w:pPr>
      <w:spacing w:before="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5c76a1"/>
    <w:pPr>
      <w:spacing w:before="0" w:after="0"/>
      <w:outlineLvl w:val="7"/>
    </w:pPr>
    <w:rPr>
      <w:rFonts w:ascii="Arial" w:hAnsi="Arial" w:eastAsia="" w:cs="" w:asciiTheme="majorHAnsi" w:cstheme="majorBidi" w:eastAsiaTheme="majorEastAsia" w:hAnsiTheme="majorHAnsi"/>
      <w:sz w:val="20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5c76a1"/>
    <w:pPr>
      <w:spacing w:before="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c76a1"/>
    <w:rPr>
      <w:rFonts w:ascii="Arial" w:hAnsi="Arial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5c76a1"/>
    <w:rPr>
      <w:rFonts w:ascii="Arial" w:hAnsi="Arial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5c76a1"/>
    <w:rPr>
      <w:rFonts w:ascii="Arial" w:hAnsi="Arial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c76a1"/>
    <w:rPr>
      <w:rFonts w:ascii="Arial" w:hAnsi="Arial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6a1"/>
    <w:rPr>
      <w:b/>
      <w:bCs/>
    </w:rPr>
  </w:style>
  <w:style w:type="character" w:styleId="Wyrnienie">
    <w:name w:val="Wyróżnienie"/>
    <w:uiPriority w:val="20"/>
    <w:qFormat/>
    <w:rsid w:val="005c76a1"/>
    <w:rPr/>
  </w:style>
  <w:style w:type="character" w:styleId="CytatZnak" w:customStyle="1">
    <w:name w:val="Cytat Znak"/>
    <w:basedOn w:val="DefaultParagraphFont"/>
    <w:link w:val="Cytat"/>
    <w:uiPriority w:val="29"/>
    <w:qFormat/>
    <w:rsid w:val="005c76a1"/>
    <w:rPr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5c76a1"/>
    <w:rPr>
      <w:b/>
      <w:bCs/>
      <w:i/>
      <w:iCs/>
    </w:rPr>
  </w:style>
  <w:style w:type="character" w:styleId="SubtleEmphasis">
    <w:name w:val="Subtle Emphasis"/>
    <w:uiPriority w:val="19"/>
    <w:qFormat/>
    <w:rsid w:val="005c76a1"/>
    <w:rPr>
      <w:i/>
      <w:iCs/>
    </w:rPr>
  </w:style>
  <w:style w:type="character" w:styleId="IntenseEmphasis">
    <w:name w:val="Intense Emphasis"/>
    <w:uiPriority w:val="21"/>
    <w:qFormat/>
    <w:rsid w:val="005c76a1"/>
    <w:rPr>
      <w:b/>
      <w:bCs/>
    </w:rPr>
  </w:style>
  <w:style w:type="character" w:styleId="SubtleReference">
    <w:name w:val="Subtle Reference"/>
    <w:uiPriority w:val="31"/>
    <w:qFormat/>
    <w:rsid w:val="005c76a1"/>
    <w:rPr>
      <w:smallCaps/>
    </w:rPr>
  </w:style>
  <w:style w:type="character" w:styleId="IntenseReference">
    <w:name w:val="Intense Reference"/>
    <w:uiPriority w:val="32"/>
    <w:qFormat/>
    <w:rsid w:val="005c76a1"/>
    <w:rPr>
      <w:smallCaps/>
      <w:spacing w:val="5"/>
      <w:u w:val="single"/>
    </w:rPr>
  </w:style>
  <w:style w:type="character" w:styleId="BookTitle">
    <w:name w:val="Book Title"/>
    <w:uiPriority w:val="33"/>
    <w:qFormat/>
    <w:rsid w:val="005c76a1"/>
    <w:rPr>
      <w:i/>
      <w:iCs/>
      <w:smallCaps/>
      <w:spacing w:val="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7129"/>
    <w:rPr>
      <w:rFonts w:ascii="Tahoma" w:hAnsi="Tahoma" w:cs="Tahoma"/>
      <w:color w:val="00000A"/>
      <w:sz w:val="16"/>
      <w:szCs w:val="16"/>
      <w:lang w:val="pl-PL" w:eastAsia="pl-PL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" w:cs="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Times New Roman" w:hAnsi="Times New Roman" w:cs="Wingdings"/>
      <w:b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Times New Roman" w:hAnsi="Times New Roman" w:cs=""/>
      <w:b w:val="false"/>
      <w:sz w:val="24"/>
    </w:rPr>
  </w:style>
  <w:style w:type="character" w:styleId="ListLabel7">
    <w:name w:val="ListLabel 7"/>
    <w:qFormat/>
    <w:rPr>
      <w:rFonts w:ascii="Times New Roman" w:hAnsi="Times New Roman" w:cs="Wingdings"/>
      <w:b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  <w:b/>
      <w:sz w:val="24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  <w:b/>
      <w:sz w:val="24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  <w:b/>
      <w:sz w:val="24"/>
    </w:rPr>
  </w:style>
  <w:style w:type="character" w:styleId="ListLabel16">
    <w:name w:val="ListLabel 16"/>
    <w:qFormat/>
    <w:rPr>
      <w:rFonts w:ascii="Times New Roman" w:hAnsi="Times New Roman" w:cs=""/>
      <w:b w:val="false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  <w:b/>
      <w:sz w:val="24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  <w:b/>
      <w:sz w:val="24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  <w:b/>
      <w:sz w:val="24"/>
    </w:rPr>
  </w:style>
  <w:style w:type="character" w:styleId="ListLabel25">
    <w:name w:val="ListLabel 25"/>
    <w:qFormat/>
    <w:rPr>
      <w:rFonts w:ascii="Times New Roman" w:hAnsi="Times New Roman" w:cs="Wingdings"/>
      <w:b w:val="false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  <w:b/>
      <w:sz w:val="24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  <w:b/>
      <w:sz w:val="24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  <w:b/>
      <w:sz w:val="24"/>
    </w:rPr>
  </w:style>
  <w:style w:type="character" w:styleId="ListLabel34">
    <w:name w:val="ListLabel 34"/>
    <w:qFormat/>
    <w:rPr>
      <w:rFonts w:ascii="Times New Roman" w:hAnsi="Times New Roman" w:cs="Wingdings"/>
      <w:b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  <w:b/>
      <w:sz w:val="24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  <w:b/>
      <w:sz w:val="24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  <w:b/>
      <w:sz w:val="24"/>
    </w:rPr>
  </w:style>
  <w:style w:type="character" w:styleId="ListLabel43">
    <w:name w:val="ListLabel 43"/>
    <w:qFormat/>
    <w:rPr>
      <w:rFonts w:ascii="Times New Roman" w:hAnsi="Times New Roman" w:cs=""/>
      <w:b w:val="false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  <w:b/>
      <w:sz w:val="24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  <w:b/>
      <w:sz w:val="24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  <w:b/>
      <w:sz w:val="24"/>
    </w:rPr>
  </w:style>
  <w:style w:type="character" w:styleId="ListLabel52">
    <w:name w:val="ListLabel 52"/>
    <w:qFormat/>
    <w:rPr>
      <w:rFonts w:ascii="Times New Roman" w:hAnsi="Times New Roman" w:cs="Wingdings"/>
      <w:b w:val="false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  <w:b/>
      <w:sz w:val="24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  <w:b/>
      <w:sz w:val="24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  <w:b/>
      <w:sz w:val="24"/>
    </w:rPr>
  </w:style>
  <w:style w:type="character" w:styleId="ListLabel61">
    <w:name w:val="ListLabel 61"/>
    <w:qFormat/>
    <w:rPr>
      <w:rFonts w:ascii="Times New Roman" w:hAnsi="Times New Roman" w:cs="Wingdings"/>
      <w:b w:val="false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  <w:b/>
      <w:sz w:val="24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  <w:b/>
      <w:sz w:val="24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  <w:b/>
      <w:sz w:val="24"/>
    </w:rPr>
  </w:style>
  <w:style w:type="character" w:styleId="ListLabel70">
    <w:name w:val="ListLabel 70"/>
    <w:qFormat/>
    <w:rPr>
      <w:rFonts w:ascii="Times New Roman" w:hAnsi="Times New Roman" w:cs=""/>
      <w:b w:val="false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  <w:b/>
      <w:sz w:val="24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  <w:b/>
      <w:sz w:val="24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  <w:b/>
      <w:sz w:val="24"/>
    </w:rPr>
  </w:style>
  <w:style w:type="character" w:styleId="ListLabel79">
    <w:name w:val="ListLabel 79"/>
    <w:qFormat/>
    <w:rPr>
      <w:rFonts w:ascii="Times New Roman" w:hAnsi="Times New Roman" w:cs="Wingdings"/>
      <w:b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  <w:b/>
      <w:sz w:val="24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  <w:b/>
      <w:sz w:val="24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  <w:b/>
      <w:sz w:val="24"/>
    </w:rPr>
  </w:style>
  <w:style w:type="character" w:styleId="ListLabel88">
    <w:name w:val="ListLabel 88"/>
    <w:qFormat/>
    <w:rPr>
      <w:rFonts w:ascii="Times New Roman" w:hAnsi="Times New Roman" w:cs="Wingdings"/>
      <w:b w:val="false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  <w:b/>
      <w:sz w:val="24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  <w:b/>
      <w:sz w:val="24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  <w:b/>
      <w:sz w:val="24"/>
    </w:rPr>
  </w:style>
  <w:style w:type="character" w:styleId="ListLabel97">
    <w:name w:val="ListLabel 97"/>
    <w:qFormat/>
    <w:rPr>
      <w:rFonts w:ascii="Times New Roman" w:hAnsi="Times New Roman" w:cs=""/>
      <w:b w:val="false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  <w:b/>
      <w:sz w:val="24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  <w:b/>
      <w:sz w:val="24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  <w:b/>
      <w:sz w:val="24"/>
    </w:rPr>
  </w:style>
  <w:style w:type="character" w:styleId="ListLabel106">
    <w:name w:val="ListLabel 106"/>
    <w:qFormat/>
    <w:rPr>
      <w:rFonts w:ascii="Times New Roman" w:hAnsi="Times New Roman" w:cs="Wingdings"/>
      <w:b w:val="false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  <w:b/>
      <w:sz w:val="24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  <w:b/>
      <w:sz w:val="24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  <w:b/>
      <w:sz w:val="24"/>
    </w:rPr>
  </w:style>
  <w:style w:type="character" w:styleId="ListLabel115">
    <w:name w:val="ListLabel 115"/>
    <w:qFormat/>
    <w:rPr>
      <w:rFonts w:ascii="Times New Roman" w:hAnsi="Times New Roman" w:cs="Wingdings"/>
      <w:b w:val="false"/>
      <w:sz w:val="24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  <w:b/>
      <w:sz w:val="24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  <w:b/>
      <w:sz w:val="24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  <w:b/>
      <w:sz w:val="24"/>
    </w:rPr>
  </w:style>
  <w:style w:type="character" w:styleId="ListLabel124">
    <w:name w:val="ListLabel 124"/>
    <w:qFormat/>
    <w:rPr>
      <w:rFonts w:ascii="Times New Roman" w:hAnsi="Times New Roman" w:cs=""/>
      <w:b w:val="false"/>
      <w:sz w:val="24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  <w:b/>
      <w:sz w:val="24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  <w:b/>
      <w:sz w:val="24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  <w:b/>
      <w:sz w:val="24"/>
    </w:rPr>
  </w:style>
  <w:style w:type="character" w:styleId="ListLabel133">
    <w:name w:val="ListLabel 133"/>
    <w:qFormat/>
    <w:rPr>
      <w:rFonts w:ascii="Times New Roman" w:hAnsi="Times New Roman" w:cs="Wingdings"/>
      <w:b w:val="false"/>
      <w:sz w:val="24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  <w:b/>
      <w:sz w:val="24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  <w:b/>
      <w:sz w:val="24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  <w:b/>
      <w:sz w:val="24"/>
    </w:rPr>
  </w:style>
  <w:style w:type="character" w:styleId="WW8Num14z0">
    <w:name w:val="WW8Num14z0"/>
    <w:qFormat/>
    <w:rPr>
      <w:rFonts w:ascii="Symbol" w:hAnsi="Symbol" w:cs="Symbol"/>
      <w:color w:val="00000A"/>
      <w:sz w:val="24"/>
      <w:highlight w:val="white"/>
      <w:lang w:val="pl-P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ListLabel142">
    <w:name w:val="ListLabel 142"/>
    <w:qFormat/>
    <w:rPr>
      <w:rFonts w:ascii="Times New Roman" w:hAnsi="Times New Roman" w:cs="Wingdings"/>
      <w:b w:val="false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  <w:b/>
      <w:sz w:val="24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  <w:b/>
      <w:sz w:val="24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  <w:b/>
      <w:sz w:val="24"/>
    </w:rPr>
  </w:style>
  <w:style w:type="character" w:styleId="ListLabel151">
    <w:name w:val="ListLabel 151"/>
    <w:qFormat/>
    <w:rPr>
      <w:rFonts w:ascii="Times New Roman" w:hAnsi="Times New Roman" w:cs=""/>
      <w:b w:val="false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  <w:b/>
      <w:sz w:val="24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  <w:b/>
      <w:sz w:val="24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  <w:b/>
      <w:sz w:val="24"/>
    </w:rPr>
  </w:style>
  <w:style w:type="character" w:styleId="ListLabel160">
    <w:name w:val="ListLabel 160"/>
    <w:qFormat/>
    <w:rPr>
      <w:rFonts w:ascii="Times New Roman" w:hAnsi="Times New Roman" w:cs="Wingdings"/>
      <w:b w:val="false"/>
      <w:sz w:val="24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  <w:b/>
      <w:sz w:val="24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  <w:b/>
      <w:sz w:val="24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  <w:b/>
      <w:sz w:val="24"/>
    </w:rPr>
  </w:style>
  <w:style w:type="character" w:styleId="ListLabel169">
    <w:name w:val="ListLabel 169"/>
    <w:qFormat/>
    <w:rPr>
      <w:rFonts w:ascii="Times New Roman" w:hAnsi="Times New Roman" w:cs="Symbol"/>
      <w:b w:val="false"/>
      <w:color w:val="00000A"/>
      <w:sz w:val="24"/>
      <w:highlight w:val="white"/>
      <w:lang w:val="pl-PL"/>
    </w:rPr>
  </w:style>
  <w:style w:type="character" w:styleId="ListLabel170">
    <w:name w:val="ListLabel 170"/>
    <w:qFormat/>
    <w:rPr>
      <w:rFonts w:ascii="Times New Roman" w:hAnsi="Times New Roman" w:cs="Wingdings"/>
      <w:b w:val="false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  <w:b/>
      <w:sz w:val="24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  <w:b/>
      <w:sz w:val="24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  <w:b/>
      <w:sz w:val="24"/>
    </w:rPr>
  </w:style>
  <w:style w:type="character" w:styleId="ListLabel179">
    <w:name w:val="ListLabel 179"/>
    <w:qFormat/>
    <w:rPr>
      <w:rFonts w:ascii="Times New Roman" w:hAnsi="Times New Roman" w:cs=""/>
      <w:b w:val="false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  <w:b/>
      <w:sz w:val="24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  <w:b/>
      <w:sz w:val="24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  <w:b/>
      <w:sz w:val="24"/>
    </w:rPr>
  </w:style>
  <w:style w:type="character" w:styleId="ListLabel188">
    <w:name w:val="ListLabel 188"/>
    <w:qFormat/>
    <w:rPr>
      <w:rFonts w:ascii="Times New Roman" w:hAnsi="Times New Roman" w:cs="Wingdings"/>
      <w:b w:val="false"/>
      <w:sz w:val="24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  <w:b/>
      <w:sz w:val="24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  <w:b/>
      <w:sz w:val="24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10"/>
    <w:qFormat/>
    <w:rsid w:val="005c76a1"/>
    <w:pPr>
      <w:pBdr>
        <w:bottom w:val="single" w:sz="4" w:space="1" w:color="00000A"/>
      </w:pBdr>
      <w:spacing w:lineRule="auto" w:line="240" w:before="0" w:after="200"/>
      <w:contextualSpacing/>
    </w:pPr>
    <w:rPr>
      <w:rFonts w:ascii="Arial" w:hAnsi="Arial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5c76a1"/>
    <w:pPr>
      <w:spacing w:before="0" w:after="600"/>
    </w:pPr>
    <w:rPr>
      <w:rFonts w:ascii="Arial" w:hAnsi="Arial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rsid w:val="005c76a1"/>
    <w:pPr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5c76a1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5c76a1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5c76a1"/>
    <w:pPr>
      <w:pBdr>
        <w:bottom w:val="single" w:sz="4" w:space="1" w:color="00000A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AHeading">
    <w:name w:val="TOA Heading"/>
    <w:basedOn w:val="Nagwek1"/>
    <w:uiPriority w:val="39"/>
    <w:semiHidden/>
    <w:unhideWhenUsed/>
    <w:qFormat/>
    <w:rsid w:val="005c76a1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71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BodyText2">
    <w:name w:val="Body Text 2"/>
    <w:basedOn w:val="Normal"/>
    <w:qFormat/>
    <w:pPr>
      <w:jc w:val="both"/>
    </w:pPr>
    <w:rPr>
      <w:rFonts w:ascii="Book Antiqua" w:hAnsi="Book Antiqua"/>
    </w:rPr>
  </w:style>
  <w:style w:type="paragraph" w:styleId="Przypisdolny">
    <w:name w:val="Footnote Text"/>
    <w:basedOn w:val="Normal"/>
    <w:pPr/>
    <w:rPr/>
  </w:style>
  <w:style w:type="paragraph" w:styleId="Nagwektabeli">
    <w:name w:val="Nagłówek tabeli"/>
    <w:basedOn w:val="Zawartotabeli"/>
    <w:qFormat/>
    <w:pPr/>
    <w:rPr/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5FF3-C2C8-4833-AF37-FB26324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LibreOffice/5.3.0.3$Windows_x86 LibreOffice_project/7074905676c47b82bbcfbea1aeefc84afe1c50e1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2017-01-05T08:25:00Z</dcterms:created>
  <dc:creator>GOPS</dc:creator>
  <dc:description/>
  <dc:language>pl-PL</dc:language>
  <cp:lastModifiedBy/>
  <cp:lastPrinted>2020-02-13T12:22:31Z</cp:lastPrinted>
  <dcterms:modified xsi:type="dcterms:W3CDTF">2020-02-14T13:20:37Z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